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CB7CB" w14:textId="77777777" w:rsidR="003C1B16" w:rsidRPr="00371A7F" w:rsidRDefault="003C1B16" w:rsidP="003C1B16">
      <w:pPr>
        <w:spacing w:line="360" w:lineRule="atLeast"/>
        <w:jc w:val="center"/>
        <w:rPr>
          <w:rFonts w:ascii="Arial" w:hAnsi="Arial" w:cs="Arial"/>
          <w:b/>
          <w:bCs/>
          <w:sz w:val="32"/>
          <w:szCs w:val="32"/>
        </w:rPr>
      </w:pPr>
      <w:r w:rsidRPr="00371A7F">
        <w:rPr>
          <w:rFonts w:ascii="Arial" w:hAnsi="Arial" w:cs="Arial"/>
          <w:b/>
          <w:bCs/>
          <w:sz w:val="32"/>
          <w:szCs w:val="32"/>
        </w:rPr>
        <w:t>Piano lezione</w:t>
      </w:r>
    </w:p>
    <w:p w14:paraId="70F3C0F5" w14:textId="77777777" w:rsidR="003C1B16" w:rsidRDefault="003C1B16" w:rsidP="003C1B16">
      <w:pPr>
        <w:spacing w:line="360" w:lineRule="atLeast"/>
        <w:jc w:val="both"/>
        <w:rPr>
          <w:rFonts w:ascii="Arial" w:hAnsi="Arial" w:cs="Arial"/>
          <w:b/>
          <w:bCs/>
        </w:rPr>
      </w:pPr>
    </w:p>
    <w:p w14:paraId="523E6B84" w14:textId="77777777" w:rsidR="003C1B16" w:rsidRDefault="003C1B16" w:rsidP="003C1B16">
      <w:pPr>
        <w:spacing w:line="360" w:lineRule="atLeast"/>
        <w:jc w:val="both"/>
        <w:rPr>
          <w:rFonts w:ascii="Arial" w:hAnsi="Arial" w:cs="Arial"/>
          <w:b/>
          <w:bCs/>
        </w:rPr>
      </w:pPr>
    </w:p>
    <w:tbl>
      <w:tblPr>
        <w:tblW w:w="9790" w:type="dxa"/>
        <w:tblCellMar>
          <w:left w:w="70" w:type="dxa"/>
          <w:right w:w="70" w:type="dxa"/>
        </w:tblCellMar>
        <w:tblLook w:val="0000" w:firstRow="0" w:lastRow="0" w:firstColumn="0" w:lastColumn="0" w:noHBand="0" w:noVBand="0"/>
      </w:tblPr>
      <w:tblGrid>
        <w:gridCol w:w="3130"/>
        <w:gridCol w:w="6648"/>
        <w:gridCol w:w="12"/>
      </w:tblGrid>
      <w:tr w:rsidR="003C1B16" w14:paraId="59B3069B" w14:textId="77777777">
        <w:tblPrEx>
          <w:tblCellMar>
            <w:top w:w="0" w:type="dxa"/>
            <w:bottom w:w="0" w:type="dxa"/>
          </w:tblCellMar>
        </w:tblPrEx>
        <w:tc>
          <w:tcPr>
            <w:tcW w:w="3130" w:type="dxa"/>
          </w:tcPr>
          <w:p w14:paraId="3FAF922D" w14:textId="77777777" w:rsidR="003C1B16" w:rsidRDefault="003C1B16" w:rsidP="003C1B16">
            <w:pPr>
              <w:spacing w:line="360" w:lineRule="atLeast"/>
              <w:jc w:val="both"/>
              <w:rPr>
                <w:rFonts w:ascii="Arial" w:hAnsi="Arial" w:cs="Arial"/>
                <w:b/>
                <w:bCs/>
              </w:rPr>
            </w:pPr>
            <w:r>
              <w:rPr>
                <w:rFonts w:ascii="Arial" w:hAnsi="Arial" w:cs="Arial"/>
                <w:b/>
                <w:bCs/>
              </w:rPr>
              <w:t>Argomento della lezione:</w:t>
            </w:r>
          </w:p>
          <w:p w14:paraId="4D879F6A" w14:textId="77777777" w:rsidR="003C1B16" w:rsidRDefault="003C1B16" w:rsidP="003C1B16">
            <w:pPr>
              <w:spacing w:line="360" w:lineRule="atLeast"/>
              <w:jc w:val="both"/>
              <w:rPr>
                <w:rFonts w:ascii="Arial" w:hAnsi="Arial" w:cs="Arial"/>
                <w:b/>
                <w:bCs/>
              </w:rPr>
            </w:pPr>
          </w:p>
        </w:tc>
        <w:tc>
          <w:tcPr>
            <w:tcW w:w="6660" w:type="dxa"/>
            <w:gridSpan w:val="2"/>
          </w:tcPr>
          <w:p w14:paraId="66FB81E4" w14:textId="77777777" w:rsidR="003C1B16" w:rsidRDefault="003C1B16" w:rsidP="003C1B16">
            <w:pPr>
              <w:spacing w:line="360" w:lineRule="atLeast"/>
              <w:jc w:val="both"/>
              <w:rPr>
                <w:rFonts w:ascii="Arial" w:hAnsi="Arial" w:cs="Arial"/>
              </w:rPr>
            </w:pPr>
            <w:r>
              <w:rPr>
                <w:rFonts w:ascii="Arial" w:hAnsi="Arial" w:cs="Arial"/>
              </w:rPr>
              <w:t>Gli avvenimenti della Seconda guerra mondiale</w:t>
            </w:r>
          </w:p>
        </w:tc>
      </w:tr>
      <w:tr w:rsidR="003C1B16" w14:paraId="2AC91938" w14:textId="77777777">
        <w:tblPrEx>
          <w:tblCellMar>
            <w:top w:w="0" w:type="dxa"/>
            <w:bottom w:w="0" w:type="dxa"/>
          </w:tblCellMar>
        </w:tblPrEx>
        <w:tc>
          <w:tcPr>
            <w:tcW w:w="3130" w:type="dxa"/>
          </w:tcPr>
          <w:p w14:paraId="44114F09" w14:textId="77777777" w:rsidR="003C1B16" w:rsidRDefault="003C1B16" w:rsidP="003C1B16">
            <w:pPr>
              <w:spacing w:line="360" w:lineRule="atLeast"/>
              <w:jc w:val="both"/>
              <w:rPr>
                <w:rFonts w:ascii="Arial" w:hAnsi="Arial" w:cs="Arial"/>
                <w:b/>
                <w:bCs/>
              </w:rPr>
            </w:pPr>
            <w:r>
              <w:rPr>
                <w:rFonts w:ascii="Arial" w:hAnsi="Arial" w:cs="Arial"/>
                <w:b/>
                <w:bCs/>
              </w:rPr>
              <w:t>Tempo previsto:</w:t>
            </w:r>
          </w:p>
          <w:p w14:paraId="6711E73B" w14:textId="77777777" w:rsidR="003C1B16" w:rsidRDefault="003C1B16" w:rsidP="003C1B16">
            <w:pPr>
              <w:spacing w:line="360" w:lineRule="atLeast"/>
              <w:jc w:val="both"/>
              <w:rPr>
                <w:rFonts w:ascii="Arial" w:hAnsi="Arial" w:cs="Arial"/>
                <w:b/>
                <w:bCs/>
              </w:rPr>
            </w:pPr>
          </w:p>
        </w:tc>
        <w:tc>
          <w:tcPr>
            <w:tcW w:w="6660" w:type="dxa"/>
            <w:gridSpan w:val="2"/>
          </w:tcPr>
          <w:p w14:paraId="34E0AFE8" w14:textId="77777777" w:rsidR="003C1B16" w:rsidRDefault="003C1B16" w:rsidP="003C1B16">
            <w:pPr>
              <w:spacing w:line="360" w:lineRule="atLeast"/>
              <w:jc w:val="both"/>
              <w:rPr>
                <w:rFonts w:ascii="Arial" w:hAnsi="Arial" w:cs="Arial"/>
              </w:rPr>
            </w:pPr>
            <w:r>
              <w:rPr>
                <w:rFonts w:ascii="Arial" w:hAnsi="Arial" w:cs="Arial"/>
              </w:rPr>
              <w:t>2-3 ore lezione</w:t>
            </w:r>
          </w:p>
        </w:tc>
      </w:tr>
      <w:tr w:rsidR="003C1B16" w14:paraId="323A3368" w14:textId="77777777">
        <w:tblPrEx>
          <w:tblCellMar>
            <w:top w:w="0" w:type="dxa"/>
            <w:bottom w:w="0" w:type="dxa"/>
          </w:tblCellMar>
        </w:tblPrEx>
        <w:trPr>
          <w:gridAfter w:val="1"/>
          <w:wAfter w:w="12" w:type="dxa"/>
          <w:trHeight w:val="1151"/>
        </w:trPr>
        <w:tc>
          <w:tcPr>
            <w:tcW w:w="3130" w:type="dxa"/>
          </w:tcPr>
          <w:p w14:paraId="7FD94D2F" w14:textId="77777777" w:rsidR="003C1B16" w:rsidRDefault="003C1B16" w:rsidP="003C1B16">
            <w:pPr>
              <w:spacing w:line="360" w:lineRule="atLeast"/>
              <w:jc w:val="both"/>
              <w:rPr>
                <w:rFonts w:ascii="Arial" w:eastAsia="MS Mincho" w:hAnsi="Arial" w:cs="Arial"/>
                <w:b/>
                <w:bCs/>
              </w:rPr>
            </w:pPr>
            <w:r>
              <w:rPr>
                <w:rFonts w:ascii="Arial" w:hAnsi="Arial" w:cs="Arial"/>
                <w:b/>
                <w:bCs/>
              </w:rPr>
              <w:t>Obiettivi:</w:t>
            </w:r>
          </w:p>
          <w:p w14:paraId="4E730E17" w14:textId="77777777" w:rsidR="003C1B16" w:rsidRDefault="003C1B16" w:rsidP="003C1B16">
            <w:pPr>
              <w:spacing w:line="360" w:lineRule="atLeast"/>
              <w:jc w:val="both"/>
              <w:rPr>
                <w:rFonts w:ascii="Arial" w:hAnsi="Arial" w:cs="Arial"/>
                <w:b/>
                <w:bCs/>
              </w:rPr>
            </w:pPr>
            <w:r>
              <w:rPr>
                <w:rFonts w:ascii="Arial" w:eastAsia="MS Mincho" w:hAnsi="Arial" w:cs="Arial"/>
                <w:b/>
                <w:bCs/>
              </w:rPr>
              <w:tab/>
            </w:r>
          </w:p>
          <w:p w14:paraId="2EF078AD" w14:textId="77777777" w:rsidR="003C1B16" w:rsidRDefault="003C1B16" w:rsidP="003C1B16">
            <w:pPr>
              <w:spacing w:line="360" w:lineRule="atLeast"/>
              <w:jc w:val="both"/>
              <w:rPr>
                <w:rFonts w:ascii="Arial" w:hAnsi="Arial" w:cs="Arial"/>
                <w:b/>
                <w:bCs/>
              </w:rPr>
            </w:pPr>
          </w:p>
        </w:tc>
        <w:tc>
          <w:tcPr>
            <w:tcW w:w="6648" w:type="dxa"/>
          </w:tcPr>
          <w:p w14:paraId="5A524309" w14:textId="77777777" w:rsidR="003C1B16" w:rsidRDefault="003C1B16" w:rsidP="003C1B16">
            <w:pPr>
              <w:spacing w:line="360" w:lineRule="atLeast"/>
              <w:jc w:val="both"/>
              <w:rPr>
                <w:rFonts w:ascii="Arial" w:hAnsi="Arial" w:cs="Arial"/>
              </w:rPr>
            </w:pPr>
            <w:bookmarkStart w:id="0" w:name="OLE_LINK16"/>
            <w:bookmarkStart w:id="1" w:name="OLE_LINK17"/>
            <w:r>
              <w:rPr>
                <w:rFonts w:ascii="Arial" w:hAnsi="Arial" w:cs="Arial"/>
              </w:rPr>
              <w:t>L’attività propone una lettura della Seconda guerra mondiale attraverso gli avvenimenti più importanti. Alla fine di questa lezione, gli allievi saranno in grado di avere un’idea generale dello svolgimento della guerra.</w:t>
            </w:r>
            <w:bookmarkEnd w:id="0"/>
            <w:bookmarkEnd w:id="1"/>
            <w:r>
              <w:rPr>
                <w:rFonts w:ascii="Arial" w:hAnsi="Arial" w:cs="Arial"/>
              </w:rPr>
              <w:t xml:space="preserve"> </w:t>
            </w:r>
          </w:p>
          <w:p w14:paraId="20E2A755" w14:textId="77777777" w:rsidR="003C1B16" w:rsidRPr="003C1B16" w:rsidRDefault="003C1B16" w:rsidP="003C1B16">
            <w:pPr>
              <w:spacing w:line="360" w:lineRule="atLeast"/>
              <w:jc w:val="both"/>
              <w:rPr>
                <w:rFonts w:ascii="Arial" w:hAnsi="Arial" w:cs="Arial"/>
              </w:rPr>
            </w:pPr>
            <w:bookmarkStart w:id="2" w:name="OLE_LINK18"/>
            <w:bookmarkStart w:id="3" w:name="OLE_LINK19"/>
            <w:r>
              <w:rPr>
                <w:rFonts w:ascii="Arial" w:hAnsi="Arial" w:cs="Arial"/>
              </w:rPr>
              <w:t>Questa conoscenza sarà indispensabile per poter affrontare in seguito argomenti più specifici come la Resistenza, l’antisemitismo e il ruolo svolto dalla Svizzera nel conflitto. In questo contesto, questa lezione serve semplicemente come attività preliminare per attivare delle conoscenze da utilizzare nelle attività successive.</w:t>
            </w:r>
            <w:bookmarkEnd w:id="2"/>
            <w:bookmarkEnd w:id="3"/>
          </w:p>
        </w:tc>
      </w:tr>
    </w:tbl>
    <w:p w14:paraId="7DD2FA37" w14:textId="77777777" w:rsidR="003C1B16" w:rsidRDefault="003C1B16" w:rsidP="003C1B16">
      <w:pPr>
        <w:spacing w:line="360" w:lineRule="atLeast"/>
        <w:jc w:val="both"/>
        <w:rPr>
          <w:rFonts w:ascii="Arial" w:hAnsi="Arial" w:cs="Arial"/>
          <w:b/>
          <w:bCs/>
        </w:rPr>
      </w:pPr>
    </w:p>
    <w:p w14:paraId="21D5FD3A" w14:textId="77777777" w:rsidR="003C1B16" w:rsidRDefault="003C1B16" w:rsidP="003C1B16">
      <w:pPr>
        <w:spacing w:line="360" w:lineRule="atLeast"/>
        <w:jc w:val="both"/>
        <w:rPr>
          <w:rFonts w:ascii="Arial" w:eastAsia="MS Mincho" w:hAnsi="Arial" w:cs="Arial"/>
          <w:b/>
          <w:bCs/>
        </w:rPr>
      </w:pPr>
      <w:bookmarkStart w:id="4" w:name="OLE_LINK20"/>
      <w:bookmarkStart w:id="5" w:name="OLE_LINK21"/>
      <w:r>
        <w:rPr>
          <w:rFonts w:ascii="Arial" w:hAnsi="Arial" w:cs="Arial"/>
          <w:b/>
          <w:bCs/>
        </w:rPr>
        <w:t>Osservazione preliminare:</w:t>
      </w:r>
      <w:r>
        <w:rPr>
          <w:rFonts w:ascii="Arial" w:eastAsia="MS Mincho" w:hAnsi="Arial" w:cs="Arial"/>
          <w:b/>
          <w:bCs/>
        </w:rPr>
        <w:t xml:space="preserve"> </w:t>
      </w:r>
    </w:p>
    <w:p w14:paraId="29606D9E" w14:textId="5F414702" w:rsidR="003C1B16" w:rsidRDefault="003C1B16" w:rsidP="003C1B16">
      <w:pPr>
        <w:spacing w:line="360" w:lineRule="atLeast"/>
        <w:jc w:val="both"/>
        <w:rPr>
          <w:rFonts w:ascii="Arial" w:hAnsi="Arial" w:cs="Arial"/>
        </w:rPr>
      </w:pPr>
      <w:r>
        <w:rPr>
          <w:rFonts w:ascii="Arial" w:hAnsi="Arial" w:cs="Arial"/>
        </w:rPr>
        <w:t xml:space="preserve">Fulcro dell’attività è la lettura di articoli sulla </w:t>
      </w:r>
      <w:r w:rsidR="001A4394">
        <w:rPr>
          <w:rFonts w:ascii="Arial" w:hAnsi="Arial" w:cs="Arial"/>
        </w:rPr>
        <w:t>Seconda guerra mondiale</w:t>
      </w:r>
      <w:r>
        <w:rPr>
          <w:rFonts w:ascii="Arial" w:hAnsi="Arial" w:cs="Arial"/>
        </w:rPr>
        <w:t>. Si è scelto di non utilizzare la documentazione originale, poiché gli articoli del tempo presentano forti difficoltà di comprensione per gli allievi di scuola media. Un’attività basata sulla documentazione originale avrebbe certo arricchito l’attività, ma l’analisi e la comprensione di tali testi avrebbero richiesto troppo tempo e non sarebbero state funzionali all’obiettivo generale della lezione.</w:t>
      </w:r>
    </w:p>
    <w:p w14:paraId="735A0E2D" w14:textId="77777777" w:rsidR="003C1B16" w:rsidRDefault="003C1B16" w:rsidP="003C1B16">
      <w:pPr>
        <w:spacing w:line="360" w:lineRule="atLeast"/>
        <w:jc w:val="both"/>
        <w:rPr>
          <w:rFonts w:ascii="Arial" w:hAnsi="Arial" w:cs="Arial"/>
        </w:rPr>
      </w:pPr>
    </w:p>
    <w:p w14:paraId="60DED4FF" w14:textId="77777777" w:rsidR="003C1B16" w:rsidRDefault="003C1B16" w:rsidP="003C1B16">
      <w:pPr>
        <w:spacing w:line="360" w:lineRule="atLeast"/>
        <w:jc w:val="both"/>
        <w:rPr>
          <w:rFonts w:ascii="Arial" w:hAnsi="Arial" w:cs="Arial"/>
          <w:b/>
          <w:bCs/>
        </w:rPr>
      </w:pPr>
      <w:r>
        <w:rPr>
          <w:rFonts w:ascii="Arial" w:hAnsi="Arial" w:cs="Arial"/>
          <w:b/>
          <w:bCs/>
        </w:rPr>
        <w:t>Attività proposta:</w:t>
      </w:r>
    </w:p>
    <w:p w14:paraId="5F9E3631" w14:textId="77777777" w:rsidR="003C1B16" w:rsidRDefault="003C1B16" w:rsidP="003C1B16">
      <w:pPr>
        <w:spacing w:line="360" w:lineRule="atLeast"/>
        <w:jc w:val="both"/>
        <w:rPr>
          <w:rFonts w:ascii="Arial" w:hAnsi="Arial" w:cs="Arial"/>
        </w:rPr>
      </w:pPr>
      <w:r>
        <w:rPr>
          <w:rFonts w:ascii="Arial" w:hAnsi="Arial" w:cs="Arial"/>
        </w:rPr>
        <w:t>In un primo tempo, gli allievi saranno chiamati (singolarmente, a coppie o in gruppo) alla lettura di una serie di articoli riguardanti i punti salienti della Seconda guerra mondiale, prestando attenzione ed evidenziando le date essenziali del conflitto. Gli articoli sono volutamente privi di titolo e di sottotitolo. Grazie alla lettura e alla comprensione dei testi gli allievi potranno scegliere da una lista (incollandoli oppure riscrivendoli) i titoli appropriati per ogni articolo.</w:t>
      </w:r>
    </w:p>
    <w:p w14:paraId="5391E3CB" w14:textId="77777777" w:rsidR="003C1B16" w:rsidRDefault="003C1B16" w:rsidP="003C1B16">
      <w:pPr>
        <w:spacing w:line="360" w:lineRule="atLeast"/>
        <w:jc w:val="both"/>
        <w:rPr>
          <w:rFonts w:ascii="Arial" w:hAnsi="Arial" w:cs="Arial"/>
        </w:rPr>
      </w:pPr>
      <w:r>
        <w:rPr>
          <w:rFonts w:ascii="Arial" w:hAnsi="Arial" w:cs="Arial"/>
        </w:rPr>
        <w:t>In seguito, gli allievi dovranno completare una linea del tempo con le informazioni e le date raccolte negli articoli.</w:t>
      </w:r>
    </w:p>
    <w:p w14:paraId="1EDCD577" w14:textId="77777777" w:rsidR="003C1B16" w:rsidRDefault="003C1B16" w:rsidP="003C1B16">
      <w:pPr>
        <w:pStyle w:val="Corpotesto"/>
        <w:rPr>
          <w:rFonts w:ascii="Century Gothic" w:hAnsi="Century Gothic"/>
          <w:sz w:val="22"/>
        </w:rPr>
      </w:pPr>
      <w:r>
        <w:t>Una volta completata questa prima parte del lavoro, essi avranno una comprensione adeguata dell’evoluzione della guerra e potranno completare una tabella riassuntiva in cui si tematizzano le grandi fasi del conflitto.</w:t>
      </w:r>
      <w:bookmarkEnd w:id="4"/>
      <w:bookmarkEnd w:id="5"/>
    </w:p>
    <w:sectPr w:rsidR="003C1B16">
      <w:headerReference w:type="default" r:id="rId7"/>
      <w:footerReference w:type="default" r:id="rId8"/>
      <w:pgSz w:w="11906" w:h="16838"/>
      <w:pgMar w:top="1258" w:right="1134" w:bottom="89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720AB" w14:textId="77777777" w:rsidR="00B355F7" w:rsidRDefault="00B355F7">
      <w:r>
        <w:separator/>
      </w:r>
    </w:p>
  </w:endnote>
  <w:endnote w:type="continuationSeparator" w:id="0">
    <w:p w14:paraId="525E2FC0" w14:textId="77777777" w:rsidR="00B355F7" w:rsidRDefault="00B35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B70D" w14:textId="77777777" w:rsidR="003C1B16" w:rsidRDefault="003C1B16">
    <w:pPr>
      <w:pStyle w:val="Pidipagina"/>
      <w:jc w:val="right"/>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42AB5" w14:textId="77777777" w:rsidR="00B355F7" w:rsidRDefault="00B355F7">
      <w:r>
        <w:separator/>
      </w:r>
    </w:p>
  </w:footnote>
  <w:footnote w:type="continuationSeparator" w:id="0">
    <w:p w14:paraId="396ADF6E" w14:textId="77777777" w:rsidR="00B355F7" w:rsidRDefault="00B35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73"/>
      <w:gridCol w:w="4817"/>
    </w:tblGrid>
    <w:tr w:rsidR="003C1B16" w14:paraId="15D67467" w14:textId="77777777">
      <w:tblPrEx>
        <w:tblCellMar>
          <w:top w:w="0" w:type="dxa"/>
          <w:bottom w:w="0" w:type="dxa"/>
        </w:tblCellMar>
      </w:tblPrEx>
      <w:tc>
        <w:tcPr>
          <w:tcW w:w="9790" w:type="dxa"/>
          <w:gridSpan w:val="2"/>
        </w:tcPr>
        <w:p w14:paraId="41DEA7C1" w14:textId="77777777" w:rsidR="003C1B16" w:rsidRDefault="003C1B16" w:rsidP="003C1B16">
          <w:pPr>
            <w:pStyle w:val="Intestazione"/>
            <w:rPr>
              <w:rFonts w:ascii="Century Gothic" w:hAnsi="Century Gothic"/>
              <w:b/>
              <w:bCs/>
              <w:i/>
              <w:iCs/>
            </w:rPr>
          </w:pPr>
          <w:r>
            <w:rPr>
              <w:rFonts w:ascii="Century Gothic" w:hAnsi="Century Gothic"/>
              <w:b/>
              <w:bCs/>
              <w:i/>
              <w:iCs/>
            </w:rPr>
            <w:t>Il corso degli avvenimenti</w:t>
          </w:r>
        </w:p>
      </w:tc>
    </w:tr>
    <w:tr w:rsidR="003C1B16" w14:paraId="6C6E79B1" w14:textId="77777777">
      <w:tblPrEx>
        <w:tblCellMar>
          <w:top w:w="0" w:type="dxa"/>
          <w:bottom w:w="0" w:type="dxa"/>
        </w:tblCellMar>
      </w:tblPrEx>
      <w:trPr>
        <w:cantSplit/>
      </w:trPr>
      <w:tc>
        <w:tcPr>
          <w:tcW w:w="4973" w:type="dxa"/>
        </w:tcPr>
        <w:p w14:paraId="5F3C4C5D" w14:textId="77777777" w:rsidR="003C1B16" w:rsidRDefault="003C1B16" w:rsidP="003C1B16">
          <w:pPr>
            <w:pStyle w:val="Intestazione"/>
          </w:pPr>
          <w:r>
            <w:rPr>
              <w:rFonts w:ascii="Century Gothic" w:hAnsi="Century Gothic"/>
              <w:sz w:val="20"/>
            </w:rPr>
            <w:t>La Seconda guerra mondiale</w:t>
          </w:r>
        </w:p>
      </w:tc>
      <w:tc>
        <w:tcPr>
          <w:tcW w:w="4817" w:type="dxa"/>
        </w:tcPr>
        <w:p w14:paraId="274A676D" w14:textId="77777777" w:rsidR="003C1B16" w:rsidRDefault="003C1B16" w:rsidP="003C1B16">
          <w:pPr>
            <w:pStyle w:val="Intestazione"/>
          </w:pPr>
        </w:p>
      </w:tc>
    </w:tr>
  </w:tbl>
  <w:p w14:paraId="653F64DF" w14:textId="77777777" w:rsidR="003C1B16" w:rsidRDefault="003C1B1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4865"/>
    <w:multiLevelType w:val="hybridMultilevel"/>
    <w:tmpl w:val="3ECEE70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0A65283"/>
    <w:multiLevelType w:val="hybridMultilevel"/>
    <w:tmpl w:val="DC7AACA4"/>
    <w:lvl w:ilvl="0" w:tplc="04100015">
      <w:start w:val="1"/>
      <w:numFmt w:val="upp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19C30C7"/>
    <w:multiLevelType w:val="hybridMultilevel"/>
    <w:tmpl w:val="5CFEDA0E"/>
    <w:lvl w:ilvl="0" w:tplc="04100015">
      <w:start w:val="1"/>
      <w:numFmt w:val="upp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31B518E4"/>
    <w:multiLevelType w:val="hybridMultilevel"/>
    <w:tmpl w:val="39BA0B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D01AE"/>
    <w:multiLevelType w:val="hybridMultilevel"/>
    <w:tmpl w:val="3C9A2D5E"/>
    <w:lvl w:ilvl="0" w:tplc="945C225E">
      <w:start w:val="4"/>
      <w:numFmt w:val="bullet"/>
      <w:lvlText w:val="-"/>
      <w:lvlJc w:val="left"/>
      <w:pPr>
        <w:tabs>
          <w:tab w:val="num" w:pos="1080"/>
        </w:tabs>
        <w:ind w:left="1080" w:hanging="360"/>
      </w:pPr>
      <w:rPr>
        <w:rFonts w:ascii="Comic Sans MS" w:eastAsia="Times New Roman" w:hAnsi="Comic Sans M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196A3B"/>
    <w:multiLevelType w:val="hybridMultilevel"/>
    <w:tmpl w:val="6480182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D112ED"/>
    <w:multiLevelType w:val="hybridMultilevel"/>
    <w:tmpl w:val="6AE66D24"/>
    <w:lvl w:ilvl="0" w:tplc="945C225E">
      <w:start w:val="4"/>
      <w:numFmt w:val="bullet"/>
      <w:lvlText w:val="-"/>
      <w:lvlJc w:val="left"/>
      <w:pPr>
        <w:tabs>
          <w:tab w:val="num" w:pos="1080"/>
        </w:tabs>
        <w:ind w:left="1080" w:hanging="360"/>
      </w:pPr>
      <w:rPr>
        <w:rFonts w:ascii="Comic Sans MS" w:eastAsia="Times New Roman" w:hAnsi="Comic Sans MS" w:cs="Times New Roman" w:hint="default"/>
      </w:rPr>
    </w:lvl>
    <w:lvl w:ilvl="1" w:tplc="04100007">
      <w:start w:val="1"/>
      <w:numFmt w:val="bullet"/>
      <w:lvlText w:val=""/>
      <w:lvlJc w:val="left"/>
      <w:pPr>
        <w:tabs>
          <w:tab w:val="num" w:pos="1440"/>
        </w:tabs>
        <w:ind w:left="1440" w:hanging="360"/>
      </w:pPr>
      <w:rPr>
        <w:rFonts w:ascii="Wingdings" w:hAnsi="Wingdings" w:hint="default"/>
        <w:sz w:val="16"/>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8D74FA"/>
    <w:multiLevelType w:val="hybridMultilevel"/>
    <w:tmpl w:val="B8B212D8"/>
    <w:lvl w:ilvl="0" w:tplc="945C225E">
      <w:start w:val="4"/>
      <w:numFmt w:val="bullet"/>
      <w:lvlText w:val="-"/>
      <w:lvlJc w:val="left"/>
      <w:pPr>
        <w:tabs>
          <w:tab w:val="num" w:pos="1080"/>
        </w:tabs>
        <w:ind w:left="1080" w:hanging="360"/>
      </w:pPr>
      <w:rPr>
        <w:rFonts w:ascii="Comic Sans MS" w:eastAsia="Times New Roman" w:hAnsi="Comic Sans M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C415B4"/>
    <w:multiLevelType w:val="hybridMultilevel"/>
    <w:tmpl w:val="84F2CC4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E7A5D2B"/>
    <w:multiLevelType w:val="hybridMultilevel"/>
    <w:tmpl w:val="1AC096D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2"/>
  </w:num>
  <w:num w:numId="4">
    <w:abstractNumId w:val="9"/>
  </w:num>
  <w:num w:numId="5">
    <w:abstractNumId w:val="7"/>
  </w:num>
  <w:num w:numId="6">
    <w:abstractNumId w:val="6"/>
  </w:num>
  <w:num w:numId="7">
    <w:abstractNumId w:val="3"/>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16"/>
    <w:rsid w:val="001A4394"/>
    <w:rsid w:val="0033619B"/>
    <w:rsid w:val="003C1B16"/>
    <w:rsid w:val="0048572D"/>
    <w:rsid w:val="00B355F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F4F7C1B"/>
  <w15:chartTrackingRefBased/>
  <w15:docId w15:val="{D1113136-086D-CB43-994D-85E1E7B1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CH"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it-IT"/>
    </w:rPr>
  </w:style>
  <w:style w:type="paragraph" w:styleId="Titolo1">
    <w:name w:val="heading 1"/>
    <w:basedOn w:val="Normale"/>
    <w:next w:val="Normale"/>
    <w:qFormat/>
    <w:pPr>
      <w:keepNext/>
      <w:spacing w:before="240" w:after="60"/>
      <w:outlineLvl w:val="0"/>
    </w:pPr>
    <w:rPr>
      <w:rFonts w:ascii="Arial" w:hAnsi="Arial" w:cs="Arial"/>
      <w:b/>
      <w:bCs/>
      <w:kern w:val="32"/>
      <w:sz w:val="32"/>
      <w:szCs w:val="32"/>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spacing w:line="360" w:lineRule="atLeast"/>
      <w:outlineLvl w:val="3"/>
    </w:pPr>
    <w:rPr>
      <w:rFonts w:eastAsia="MS Mincho"/>
      <w:b/>
      <w:bC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testo">
    <w:name w:val="Body Text"/>
    <w:basedOn w:val="Normale"/>
    <w:pPr>
      <w:spacing w:line="360" w:lineRule="atLeast"/>
      <w:jc w:val="both"/>
    </w:pPr>
    <w:rPr>
      <w:rFonts w:ascii="Arial" w:hAnsi="Arial" w:cs="Arial"/>
    </w:rPr>
  </w:style>
  <w:style w:type="paragraph" w:styleId="Testonormale">
    <w:name w:val="Plain Text"/>
    <w:basedOn w:val="Normale"/>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Piano di lezione</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di lezione</dc:title>
  <dc:subject/>
  <dc:creator>Maurizio Binaghi</dc:creator>
  <cp:keywords/>
  <dc:description/>
  <cp:lastModifiedBy>Maurizio Binaghi</cp:lastModifiedBy>
  <cp:revision>4</cp:revision>
  <cp:lastPrinted>2022-02-28T12:32:00Z</cp:lastPrinted>
  <dcterms:created xsi:type="dcterms:W3CDTF">2022-02-28T12:23:00Z</dcterms:created>
  <dcterms:modified xsi:type="dcterms:W3CDTF">2022-02-28T12:32:00Z</dcterms:modified>
</cp:coreProperties>
</file>